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03" w:rsidRDefault="00C84603" w:rsidP="00C84603">
      <w:pPr>
        <w:jc w:val="center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bookmarkStart w:id="0" w:name="_GoBack"/>
      <w:bookmarkEnd w:id="0"/>
      <w:r w:rsidRPr="00A221D8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Theory of </w:t>
      </w:r>
      <w:r w:rsidRPr="00A221D8">
        <w:rPr>
          <w:rFonts w:asciiTheme="majorBidi" w:hAnsiTheme="majorBidi" w:cstheme="majorBidi"/>
          <w:b/>
          <w:bCs/>
          <w:i/>
          <w:iCs/>
          <w:sz w:val="26"/>
          <w:szCs w:val="26"/>
          <w:lang w:bidi="fa-IR"/>
        </w:rPr>
        <w:t>Insidad</w:t>
      </w:r>
      <w:r w:rsidRPr="00A221D8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in the Shiit</w:t>
      </w:r>
      <w:r>
        <w:rPr>
          <w:rFonts w:asciiTheme="majorBidi" w:hAnsiTheme="majorBidi" w:cstheme="majorBidi"/>
          <w:b/>
          <w:bCs/>
          <w:sz w:val="26"/>
          <w:szCs w:val="26"/>
          <w:lang w:bidi="fa-IR"/>
        </w:rPr>
        <w:t>e</w:t>
      </w:r>
      <w:r w:rsidRPr="00A221D8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Epistemological</w:t>
      </w:r>
      <w:r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Thought;</w:t>
      </w:r>
    </w:p>
    <w:p w:rsidR="00C84603" w:rsidRDefault="00C84603" w:rsidP="00C84603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fa-IR"/>
        </w:rPr>
        <w:t>An Introduction to</w:t>
      </w:r>
      <w:r w:rsidRPr="00A221D8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Secularization of the Religious Legal System</w:t>
      </w:r>
    </w:p>
    <w:p w:rsidR="00C82FDE" w:rsidRDefault="00C82FDE" w:rsidP="00C82FDE">
      <w:pPr>
        <w:jc w:val="center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 xml:space="preserve">Mostafa MOHAGHEGH DAMAD </w:t>
      </w:r>
      <w:r>
        <w:rPr>
          <w:rFonts w:asciiTheme="majorBidi" w:hAnsiTheme="majorBidi" w:cstheme="majorBidi"/>
          <w:rtl/>
          <w:lang w:bidi="fa-IR"/>
        </w:rPr>
        <w:t>)</w:t>
      </w:r>
      <w:r>
        <w:rPr>
          <w:rFonts w:asciiTheme="majorBidi" w:hAnsiTheme="majorBidi" w:cstheme="majorBidi"/>
          <w:lang w:bidi="fa-IR"/>
        </w:rPr>
        <w:t>Professor of  Islamic Law, Shahid Beheshti University</w:t>
      </w:r>
      <w:r>
        <w:rPr>
          <w:rFonts w:asciiTheme="majorBidi" w:hAnsiTheme="majorBidi" w:cstheme="majorBidi" w:hint="cs"/>
          <w:rtl/>
          <w:lang w:bidi="fa-IR"/>
        </w:rPr>
        <w:t>(</w:t>
      </w:r>
    </w:p>
    <w:p w:rsidR="00C82FDE" w:rsidRDefault="00C82FDE" w:rsidP="00C82FDE">
      <w:pPr>
        <w:jc w:val="center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Ali VELAEI</w:t>
      </w:r>
      <w:r>
        <w:rPr>
          <w:rFonts w:asciiTheme="majorBidi" w:hAnsiTheme="majorBidi" w:cstheme="majorBidi"/>
          <w:rtl/>
          <w:lang w:bidi="fa-IR"/>
        </w:rPr>
        <w:t xml:space="preserve">) </w:t>
      </w:r>
      <w:r>
        <w:rPr>
          <w:rFonts w:asciiTheme="majorBidi" w:hAnsiTheme="majorBidi" w:cstheme="majorBidi"/>
          <w:lang w:bidi="fa-IR"/>
        </w:rPr>
        <w:t>Ph.D. Candidate of Public Law, Shahid Beheshti University</w:t>
      </w:r>
      <w:r>
        <w:rPr>
          <w:rFonts w:asciiTheme="majorBidi" w:hAnsiTheme="majorBidi" w:cstheme="majorBidi" w:hint="cs"/>
          <w:rtl/>
          <w:lang w:bidi="fa-IR"/>
        </w:rPr>
        <w:t>(</w:t>
      </w:r>
    </w:p>
    <w:p w:rsidR="00C82FDE" w:rsidRDefault="00C82FDE" w:rsidP="00C82FDE">
      <w:pPr>
        <w:jc w:val="center"/>
        <w:rPr>
          <w:rFonts w:asciiTheme="majorBidi" w:hAnsiTheme="majorBidi" w:cstheme="majorBidi"/>
          <w:lang w:bidi="fa-IR"/>
        </w:rPr>
      </w:pPr>
    </w:p>
    <w:p w:rsidR="00C84603" w:rsidRPr="00A221D8" w:rsidRDefault="00C84603" w:rsidP="00C84603">
      <w:pPr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A221D8">
        <w:rPr>
          <w:rFonts w:asciiTheme="majorBidi" w:hAnsiTheme="majorBidi" w:cstheme="majorBidi"/>
          <w:b/>
          <w:bCs/>
          <w:sz w:val="26"/>
          <w:szCs w:val="26"/>
          <w:lang w:bidi="fa-IR"/>
        </w:rPr>
        <w:t>Abstract:</w:t>
      </w:r>
    </w:p>
    <w:p w:rsidR="00C84603" w:rsidRPr="00023A06" w:rsidRDefault="00C84603" w:rsidP="00C84603">
      <w:pPr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“</w:t>
      </w:r>
      <w:r w:rsidRPr="00023A06">
        <w:rPr>
          <w:rFonts w:asciiTheme="majorBidi" w:hAnsiTheme="majorBidi" w:cstheme="majorBidi"/>
          <w:lang w:bidi="fa-IR"/>
        </w:rPr>
        <w:t>Foundationalism</w:t>
      </w:r>
      <w:r>
        <w:rPr>
          <w:rFonts w:asciiTheme="majorBidi" w:hAnsiTheme="majorBidi" w:cstheme="majorBidi"/>
          <w:lang w:bidi="fa-IR"/>
        </w:rPr>
        <w:t>”</w:t>
      </w:r>
      <w:r w:rsidRPr="00023A06">
        <w:rPr>
          <w:rFonts w:asciiTheme="majorBidi" w:hAnsiTheme="majorBidi" w:cstheme="majorBidi"/>
          <w:lang w:bidi="fa-IR"/>
        </w:rPr>
        <w:t xml:space="preserve"> is the dominant approach in the epistemology of “</w:t>
      </w:r>
      <w:r w:rsidRPr="0095000F">
        <w:rPr>
          <w:rFonts w:asciiTheme="majorBidi" w:hAnsiTheme="majorBidi" w:cstheme="majorBidi"/>
          <w:i/>
          <w:iCs/>
          <w:color w:val="222222"/>
          <w:shd w:val="clear" w:color="auto" w:fill="FFFFFF"/>
        </w:rPr>
        <w:t>Uṣūl al-fiqh</w:t>
      </w:r>
      <w:r w:rsidRPr="00023A06">
        <w:rPr>
          <w:rFonts w:asciiTheme="majorBidi" w:hAnsiTheme="majorBidi" w:cstheme="majorBidi"/>
          <w:lang w:bidi="fa-IR"/>
        </w:rPr>
        <w:t>”</w:t>
      </w:r>
      <w:r>
        <w:rPr>
          <w:rFonts w:asciiTheme="majorBidi" w:hAnsiTheme="majorBidi" w:cstheme="majorBidi"/>
          <w:lang w:bidi="fa-IR"/>
        </w:rPr>
        <w:t xml:space="preserve"> in which</w:t>
      </w:r>
      <w:r w:rsidRPr="00023A06">
        <w:rPr>
          <w:rFonts w:asciiTheme="majorBidi" w:hAnsiTheme="majorBidi" w:cstheme="majorBidi"/>
          <w:lang w:bidi="fa-IR"/>
        </w:rPr>
        <w:t xml:space="preserve"> absolute authoritativeness of </w:t>
      </w:r>
      <w:r>
        <w:rPr>
          <w:rFonts w:asciiTheme="majorBidi" w:hAnsiTheme="majorBidi" w:cstheme="majorBidi"/>
          <w:lang w:bidi="fa-IR"/>
        </w:rPr>
        <w:t>certainty belief (</w:t>
      </w:r>
      <w:r w:rsidRPr="00B04B6A">
        <w:rPr>
          <w:rFonts w:asciiTheme="majorBidi" w:hAnsiTheme="majorBidi" w:cstheme="majorBidi"/>
          <w:i/>
          <w:iCs/>
          <w:lang w:bidi="fa-IR"/>
        </w:rPr>
        <w:t>Qat’</w:t>
      </w:r>
      <w:r>
        <w:rPr>
          <w:rFonts w:asciiTheme="majorBidi" w:hAnsiTheme="majorBidi" w:cstheme="majorBidi"/>
          <w:lang w:bidi="fa-IR"/>
        </w:rPr>
        <w:t>) is highly famous. According to S</w:t>
      </w:r>
      <w:r w:rsidRPr="00023A06">
        <w:rPr>
          <w:rFonts w:asciiTheme="majorBidi" w:hAnsiTheme="majorBidi" w:cstheme="majorBidi"/>
          <w:lang w:bidi="fa-IR"/>
        </w:rPr>
        <w:t>hiit</w:t>
      </w:r>
      <w:r>
        <w:rPr>
          <w:rFonts w:asciiTheme="majorBidi" w:hAnsiTheme="majorBidi" w:cstheme="majorBidi"/>
          <w:lang w:bidi="fa-IR"/>
        </w:rPr>
        <w:t>e</w:t>
      </w:r>
      <w:r w:rsidRPr="00023A06">
        <w:rPr>
          <w:rFonts w:asciiTheme="majorBidi" w:hAnsiTheme="majorBidi" w:cstheme="majorBidi"/>
          <w:lang w:bidi="fa-IR"/>
        </w:rPr>
        <w:t xml:space="preserve"> epistemological thought, non-authoritativeness of conjecture (</w:t>
      </w:r>
      <w:r w:rsidRPr="00B04B6A">
        <w:rPr>
          <w:rFonts w:asciiTheme="majorBidi" w:hAnsiTheme="majorBidi" w:cstheme="majorBidi"/>
          <w:i/>
          <w:iCs/>
          <w:lang w:bidi="fa-IR"/>
        </w:rPr>
        <w:t>Zann</w:t>
      </w:r>
      <w:r w:rsidRPr="00023A06">
        <w:rPr>
          <w:rFonts w:asciiTheme="majorBidi" w:hAnsiTheme="majorBidi" w:cstheme="majorBidi"/>
          <w:lang w:bidi="fa-IR"/>
        </w:rPr>
        <w:t>) is perceived</w:t>
      </w:r>
      <w:r>
        <w:rPr>
          <w:rFonts w:asciiTheme="majorBidi" w:hAnsiTheme="majorBidi" w:cstheme="majorBidi"/>
          <w:lang w:bidi="fa-IR"/>
        </w:rPr>
        <w:t xml:space="preserve"> as a </w:t>
      </w:r>
      <w:r w:rsidRPr="00DA6462">
        <w:rPr>
          <w:rFonts w:asciiTheme="majorBidi" w:hAnsiTheme="majorBidi" w:cstheme="majorBidi"/>
        </w:rPr>
        <w:t>primary</w:t>
      </w:r>
      <w:r w:rsidRPr="00023A06">
        <w:rPr>
          <w:rFonts w:asciiTheme="majorBidi" w:hAnsiTheme="majorBidi" w:cstheme="majorBidi"/>
          <w:lang w:bidi="fa-IR"/>
        </w:rPr>
        <w:t xml:space="preserve"> axiom and </w:t>
      </w:r>
      <w:r>
        <w:rPr>
          <w:rFonts w:asciiTheme="majorBidi" w:hAnsiTheme="majorBidi" w:cstheme="majorBidi"/>
          <w:lang w:bidi="fa-IR"/>
        </w:rPr>
        <w:t>doubtlessly</w:t>
      </w:r>
      <w:r w:rsidRPr="00023A06">
        <w:rPr>
          <w:rFonts w:asciiTheme="majorBidi" w:hAnsiTheme="majorBidi" w:cstheme="majorBidi"/>
          <w:lang w:bidi="fa-IR"/>
        </w:rPr>
        <w:t xml:space="preserve"> conclude</w:t>
      </w:r>
      <w:r>
        <w:rPr>
          <w:rFonts w:asciiTheme="majorBidi" w:hAnsiTheme="majorBidi" w:cstheme="majorBidi"/>
          <w:lang w:bidi="fa-IR"/>
        </w:rPr>
        <w:t>d</w:t>
      </w:r>
      <w:r w:rsidRPr="00023A06">
        <w:rPr>
          <w:rFonts w:asciiTheme="majorBidi" w:hAnsiTheme="majorBidi" w:cstheme="majorBidi"/>
          <w:lang w:bidi="fa-IR"/>
        </w:rPr>
        <w:t xml:space="preserve"> that</w:t>
      </w:r>
      <w:r>
        <w:rPr>
          <w:rFonts w:asciiTheme="majorBidi" w:hAnsiTheme="majorBidi" w:cstheme="majorBidi"/>
          <w:lang w:bidi="fa-IR"/>
        </w:rPr>
        <w:t xml:space="preserve"> the</w:t>
      </w:r>
      <w:r w:rsidRPr="00023A06">
        <w:rPr>
          <w:rFonts w:asciiTheme="majorBidi" w:hAnsiTheme="majorBidi" w:cstheme="majorBidi"/>
          <w:lang w:bidi="fa-IR"/>
        </w:rPr>
        <w:t xml:space="preserve"> “Theory of </w:t>
      </w:r>
      <w:r w:rsidRPr="00B04B6A">
        <w:rPr>
          <w:rFonts w:asciiTheme="majorBidi" w:hAnsiTheme="majorBidi" w:cstheme="majorBidi"/>
          <w:i/>
          <w:iCs/>
          <w:lang w:bidi="fa-IR"/>
        </w:rPr>
        <w:t>Insidad</w:t>
      </w:r>
      <w:r w:rsidRPr="00023A06">
        <w:rPr>
          <w:rFonts w:asciiTheme="majorBidi" w:hAnsiTheme="majorBidi" w:cstheme="majorBidi"/>
          <w:lang w:bidi="fa-IR"/>
        </w:rPr>
        <w:t xml:space="preserve">” is invalid and ineffective. </w:t>
      </w:r>
      <w:r>
        <w:rPr>
          <w:rFonts w:asciiTheme="majorBidi" w:hAnsiTheme="majorBidi" w:cstheme="majorBidi"/>
          <w:lang w:bidi="fa-IR"/>
        </w:rPr>
        <w:t>However, in a state</w:t>
      </w:r>
      <w:r w:rsidRPr="00023A06">
        <w:rPr>
          <w:rFonts w:asciiTheme="majorBidi" w:hAnsiTheme="majorBidi" w:cstheme="majorBidi"/>
          <w:lang w:bidi="fa-IR"/>
        </w:rPr>
        <w:t xml:space="preserve"> of certainty</w:t>
      </w:r>
      <w:r>
        <w:rPr>
          <w:rFonts w:asciiTheme="majorBidi" w:hAnsiTheme="majorBidi" w:cstheme="majorBidi"/>
          <w:lang w:bidi="fa-IR"/>
        </w:rPr>
        <w:t xml:space="preserve"> inadequacy</w:t>
      </w:r>
      <w:r w:rsidRPr="00023A06">
        <w:rPr>
          <w:rFonts w:asciiTheme="majorBidi" w:hAnsiTheme="majorBidi" w:cstheme="majorBidi"/>
          <w:lang w:bidi="fa-IR"/>
        </w:rPr>
        <w:t xml:space="preserve">, authoritativeness of conjecture is the secondary principle and </w:t>
      </w:r>
      <w:r>
        <w:rPr>
          <w:rFonts w:asciiTheme="majorBidi" w:hAnsiTheme="majorBidi" w:cstheme="majorBidi"/>
          <w:lang w:bidi="fa-IR"/>
        </w:rPr>
        <w:t xml:space="preserve">the following </w:t>
      </w:r>
      <w:r w:rsidRPr="00023A06">
        <w:rPr>
          <w:rFonts w:asciiTheme="majorBidi" w:hAnsiTheme="majorBidi" w:cstheme="majorBidi"/>
          <w:lang w:bidi="fa-IR"/>
        </w:rPr>
        <w:t>act</w:t>
      </w:r>
      <w:r>
        <w:rPr>
          <w:rFonts w:asciiTheme="majorBidi" w:hAnsiTheme="majorBidi" w:cstheme="majorBidi"/>
          <w:lang w:bidi="fa-IR"/>
        </w:rPr>
        <w:t>s</w:t>
      </w:r>
      <w:r w:rsidRPr="00023A06">
        <w:rPr>
          <w:rFonts w:asciiTheme="majorBidi" w:hAnsiTheme="majorBidi" w:cstheme="majorBidi"/>
          <w:lang w:bidi="fa-IR"/>
        </w:rPr>
        <w:t xml:space="preserve"> based on conjecture would be </w:t>
      </w:r>
      <w:r>
        <w:rPr>
          <w:rFonts w:asciiTheme="majorBidi" w:hAnsiTheme="majorBidi" w:cstheme="majorBidi"/>
          <w:lang w:bidi="fa-IR"/>
        </w:rPr>
        <w:t xml:space="preserve">considered </w:t>
      </w:r>
      <w:r w:rsidRPr="00023A06">
        <w:rPr>
          <w:rFonts w:asciiTheme="majorBidi" w:hAnsiTheme="majorBidi" w:cstheme="majorBidi"/>
          <w:lang w:bidi="fa-IR"/>
        </w:rPr>
        <w:t>rational. Therefore,</w:t>
      </w:r>
      <w:r>
        <w:rPr>
          <w:rFonts w:asciiTheme="majorBidi" w:hAnsiTheme="majorBidi" w:cstheme="majorBidi"/>
          <w:lang w:bidi="fa-IR"/>
        </w:rPr>
        <w:t xml:space="preserve"> arguments and justifications are necessary for refuting the</w:t>
      </w:r>
      <w:r w:rsidRPr="00023A06">
        <w:rPr>
          <w:rFonts w:asciiTheme="majorBidi" w:hAnsiTheme="majorBidi" w:cstheme="majorBidi"/>
          <w:lang w:bidi="fa-IR"/>
        </w:rPr>
        <w:t xml:space="preserve"> analogy (</w:t>
      </w:r>
      <w:r w:rsidRPr="004D51F5">
        <w:rPr>
          <w:rFonts w:asciiTheme="majorBidi" w:hAnsiTheme="majorBidi" w:cstheme="majorBidi"/>
          <w:i/>
          <w:iCs/>
          <w:lang w:bidi="fa-IR"/>
        </w:rPr>
        <w:t>Qiyas</w:t>
      </w:r>
      <w:r w:rsidRPr="00023A06">
        <w:rPr>
          <w:rFonts w:asciiTheme="majorBidi" w:hAnsiTheme="majorBidi" w:cstheme="majorBidi"/>
          <w:lang w:bidi="fa-IR"/>
        </w:rPr>
        <w:t>) and dedicating the</w:t>
      </w:r>
      <w:r w:rsidR="0077040B">
        <w:rPr>
          <w:rFonts w:asciiTheme="majorBidi" w:hAnsiTheme="majorBidi" w:cstheme="majorBidi"/>
          <w:lang w:bidi="fa-IR"/>
        </w:rPr>
        <w:t xml:space="preserve"> authoritativeness to tradition</w:t>
      </w:r>
      <w:r w:rsidRPr="00023A06">
        <w:rPr>
          <w:rFonts w:asciiTheme="majorBidi" w:hAnsiTheme="majorBidi" w:cstheme="majorBidi"/>
          <w:lang w:bidi="fa-IR"/>
        </w:rPr>
        <w:t xml:space="preserve"> (</w:t>
      </w:r>
      <w:r>
        <w:rPr>
          <w:rFonts w:asciiTheme="majorBidi" w:hAnsiTheme="majorBidi" w:cstheme="majorBidi"/>
          <w:i/>
          <w:iCs/>
          <w:lang w:bidi="fa-IR"/>
        </w:rPr>
        <w:t>Z</w:t>
      </w:r>
      <w:r w:rsidRPr="00B04B6A">
        <w:rPr>
          <w:rFonts w:asciiTheme="majorBidi" w:hAnsiTheme="majorBidi" w:cstheme="majorBidi"/>
          <w:i/>
          <w:iCs/>
          <w:lang w:bidi="fa-IR"/>
        </w:rPr>
        <w:t>ann al-khabari</w:t>
      </w:r>
      <w:r>
        <w:rPr>
          <w:rFonts w:asciiTheme="majorBidi" w:hAnsiTheme="majorBidi" w:cstheme="majorBidi"/>
          <w:lang w:bidi="fa-IR"/>
        </w:rPr>
        <w:t>)</w:t>
      </w:r>
      <w:r w:rsidR="0077040B">
        <w:rPr>
          <w:rFonts w:asciiTheme="majorBidi" w:hAnsiTheme="majorBidi" w:cstheme="majorBidi"/>
          <w:lang w:bidi="fa-IR"/>
        </w:rPr>
        <w:t>.</w:t>
      </w:r>
      <w:r>
        <w:rPr>
          <w:rFonts w:asciiTheme="majorBidi" w:hAnsiTheme="majorBidi" w:cstheme="majorBidi"/>
          <w:lang w:bidi="fa-IR"/>
        </w:rPr>
        <w:t xml:space="preserve"> Finally, the conflict between </w:t>
      </w:r>
      <w:r w:rsidRPr="00B04B6A">
        <w:rPr>
          <w:rFonts w:asciiTheme="majorBidi" w:hAnsiTheme="majorBidi" w:cstheme="majorBidi"/>
          <w:i/>
          <w:iCs/>
          <w:lang w:bidi="fa-IR"/>
        </w:rPr>
        <w:t>“Akhbarism</w:t>
      </w:r>
      <w:r>
        <w:rPr>
          <w:rFonts w:asciiTheme="majorBidi" w:hAnsiTheme="majorBidi" w:cstheme="majorBidi"/>
          <w:i/>
          <w:iCs/>
          <w:lang w:bidi="fa-IR"/>
        </w:rPr>
        <w:t>”</w:t>
      </w:r>
      <w:r>
        <w:rPr>
          <w:rFonts w:asciiTheme="majorBidi" w:hAnsiTheme="majorBidi" w:cstheme="majorBidi"/>
          <w:lang w:bidi="fa-IR"/>
        </w:rPr>
        <w:t xml:space="preserve"> and </w:t>
      </w:r>
      <w:r w:rsidRPr="00B04B6A">
        <w:rPr>
          <w:rFonts w:asciiTheme="majorBidi" w:hAnsiTheme="majorBidi" w:cstheme="majorBidi"/>
          <w:i/>
          <w:iCs/>
          <w:lang w:bidi="fa-IR"/>
        </w:rPr>
        <w:t>“Insidadism”</w:t>
      </w:r>
      <w:r>
        <w:rPr>
          <w:rFonts w:asciiTheme="majorBidi" w:hAnsiTheme="majorBidi" w:cstheme="majorBidi"/>
          <w:lang w:bidi="fa-IR"/>
        </w:rPr>
        <w:t xml:space="preserve">, led to </w:t>
      </w:r>
      <w:r>
        <w:rPr>
          <w:rFonts w:asciiTheme="majorBidi" w:hAnsiTheme="majorBidi" w:cstheme="majorBidi"/>
        </w:rPr>
        <w:t>“Loss of C</w:t>
      </w:r>
      <w:r w:rsidRPr="00DA6462">
        <w:rPr>
          <w:rFonts w:asciiTheme="majorBidi" w:hAnsiTheme="majorBidi" w:cstheme="majorBidi"/>
        </w:rPr>
        <w:t xml:space="preserve">ertainty and </w:t>
      </w:r>
      <w:r>
        <w:rPr>
          <w:rFonts w:asciiTheme="majorBidi" w:hAnsiTheme="majorBidi" w:cstheme="majorBidi"/>
        </w:rPr>
        <w:t>Availability of C</w:t>
      </w:r>
      <w:r w:rsidRPr="00DA6462">
        <w:rPr>
          <w:rFonts w:asciiTheme="majorBidi" w:hAnsiTheme="majorBidi" w:cstheme="majorBidi"/>
        </w:rPr>
        <w:t>ertainty-bearing” (</w:t>
      </w:r>
      <w:r w:rsidRPr="00DA6462">
        <w:rPr>
          <w:rFonts w:asciiTheme="majorBidi" w:hAnsiTheme="majorBidi" w:cstheme="majorBidi"/>
          <w:i/>
          <w:iCs/>
        </w:rPr>
        <w:t>Insidad bab al-</w:t>
      </w:r>
      <w:r w:rsidRPr="00DA6462">
        <w:rPr>
          <w:rFonts w:asciiTheme="majorBidi" w:hAnsiTheme="majorBidi" w:cstheme="majorBidi"/>
          <w:shd w:val="clear" w:color="auto" w:fill="FFFFFF"/>
        </w:rPr>
        <w:t>'</w:t>
      </w:r>
      <w:r w:rsidRPr="00DA6462">
        <w:rPr>
          <w:rStyle w:val="Emphasis"/>
          <w:rFonts w:asciiTheme="majorBidi" w:hAnsiTheme="majorBidi" w:cstheme="majorBidi"/>
          <w:shd w:val="clear" w:color="auto" w:fill="FFFFFF"/>
        </w:rPr>
        <w:t>ilm, Infitah bab al</w:t>
      </w:r>
      <w:r w:rsidRPr="00DA6462">
        <w:rPr>
          <w:rFonts w:asciiTheme="majorBidi" w:hAnsiTheme="majorBidi" w:cstheme="majorBidi"/>
          <w:i/>
          <w:iCs/>
        </w:rPr>
        <w:t>-</w:t>
      </w:r>
      <w:r w:rsidRPr="00DA6462">
        <w:rPr>
          <w:rFonts w:asciiTheme="majorBidi" w:hAnsiTheme="majorBidi" w:cstheme="majorBidi"/>
          <w:shd w:val="clear" w:color="auto" w:fill="FFFFFF"/>
        </w:rPr>
        <w:t>'</w:t>
      </w:r>
      <w:r w:rsidRPr="00DA6462">
        <w:rPr>
          <w:rStyle w:val="Emphasis"/>
          <w:rFonts w:asciiTheme="majorBidi" w:hAnsiTheme="majorBidi" w:cstheme="majorBidi"/>
          <w:shd w:val="clear" w:color="auto" w:fill="FFFFFF"/>
        </w:rPr>
        <w:t>ilmi</w:t>
      </w:r>
      <w:r w:rsidRPr="00DA6462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and the implications of </w:t>
      </w:r>
      <w:r w:rsidRPr="00B04B6A">
        <w:rPr>
          <w:rFonts w:asciiTheme="majorBidi" w:hAnsiTheme="majorBidi" w:cstheme="majorBidi"/>
          <w:i/>
          <w:iCs/>
        </w:rPr>
        <w:t>Insidad</w:t>
      </w:r>
      <w:r>
        <w:rPr>
          <w:rFonts w:asciiTheme="majorBidi" w:hAnsiTheme="majorBidi" w:cstheme="majorBidi"/>
        </w:rPr>
        <w:t xml:space="preserve"> have been entirely neglected. Theory of </w:t>
      </w:r>
      <w:r w:rsidRPr="00B04B6A">
        <w:rPr>
          <w:rFonts w:asciiTheme="majorBidi" w:hAnsiTheme="majorBidi" w:cstheme="majorBidi"/>
          <w:i/>
          <w:iCs/>
        </w:rPr>
        <w:t>Insidad</w:t>
      </w:r>
      <w:r>
        <w:rPr>
          <w:rFonts w:asciiTheme="majorBidi" w:hAnsiTheme="majorBidi" w:cstheme="majorBidi"/>
        </w:rPr>
        <w:t xml:space="preserve"> can validate rational conjecture as a reason to prove or defeat and based on this theory, </w:t>
      </w:r>
      <w:r w:rsidRPr="00C35090">
        <w:rPr>
          <w:rFonts w:asciiTheme="majorBidi" w:hAnsiTheme="majorBidi" w:cstheme="majorBidi"/>
        </w:rPr>
        <w:t>the</w:t>
      </w:r>
      <w:r w:rsidRPr="00C35090">
        <w:rPr>
          <w:rFonts w:asciiTheme="majorBidi" w:hAnsiTheme="majorBidi" w:cstheme="majorBidi"/>
          <w:i/>
          <w:iCs/>
        </w:rPr>
        <w:t xml:space="preserve"> fiqhī</w:t>
      </w:r>
      <w:r w:rsidRPr="00C35090">
        <w:rPr>
          <w:rFonts w:asciiTheme="majorBidi" w:hAnsiTheme="majorBidi" w:cstheme="majorBidi"/>
        </w:rPr>
        <w:t xml:space="preserve"> rule</w:t>
      </w:r>
      <w:r>
        <w:rPr>
          <w:rFonts w:asciiTheme="majorBidi" w:hAnsiTheme="majorBidi" w:cstheme="majorBidi"/>
        </w:rPr>
        <w:t xml:space="preserve"> </w:t>
      </w:r>
      <w:r w:rsidRPr="00DA6462">
        <w:rPr>
          <w:rFonts w:asciiTheme="majorBidi" w:hAnsiTheme="majorBidi" w:cstheme="majorBidi"/>
        </w:rPr>
        <w:t xml:space="preserve">cannot </w:t>
      </w:r>
      <w:r>
        <w:rPr>
          <w:rFonts w:asciiTheme="majorBidi" w:hAnsiTheme="majorBidi" w:cstheme="majorBidi"/>
        </w:rPr>
        <w:t xml:space="preserve">simply </w:t>
      </w:r>
      <w:r w:rsidRPr="00DA6462">
        <w:rPr>
          <w:rFonts w:asciiTheme="majorBidi" w:hAnsiTheme="majorBidi" w:cstheme="majorBidi"/>
        </w:rPr>
        <w:t>attribute to God</w:t>
      </w:r>
      <w:r>
        <w:rPr>
          <w:rFonts w:asciiTheme="majorBidi" w:hAnsiTheme="majorBidi" w:cstheme="majorBidi"/>
        </w:rPr>
        <w:t xml:space="preserve">; So </w:t>
      </w:r>
      <w:r w:rsidRPr="004D51F5">
        <w:rPr>
          <w:rFonts w:asciiTheme="majorBidi" w:hAnsiTheme="majorBidi" w:cstheme="majorBidi"/>
          <w:i/>
          <w:iCs/>
        </w:rPr>
        <w:t>Insidad</w:t>
      </w:r>
      <w:r>
        <w:rPr>
          <w:rFonts w:asciiTheme="majorBidi" w:hAnsiTheme="majorBidi" w:cstheme="majorBidi"/>
        </w:rPr>
        <w:t xml:space="preserve"> is </w:t>
      </w:r>
      <w:r w:rsidRPr="00DA6462">
        <w:rPr>
          <w:rFonts w:asciiTheme="majorBidi" w:hAnsiTheme="majorBidi" w:cstheme="majorBidi"/>
        </w:rPr>
        <w:t xml:space="preserve">capable of establishing </w:t>
      </w:r>
      <w:r>
        <w:rPr>
          <w:rFonts w:asciiTheme="majorBidi" w:hAnsiTheme="majorBidi" w:cstheme="majorBidi"/>
        </w:rPr>
        <w:t>a rational and secular system. From this epistemic</w:t>
      </w:r>
      <w:r w:rsidRPr="00DA6462">
        <w:rPr>
          <w:rFonts w:asciiTheme="majorBidi" w:hAnsiTheme="majorBidi" w:cstheme="majorBidi"/>
        </w:rPr>
        <w:t xml:space="preserve"> point of view</w:t>
      </w:r>
      <w:r>
        <w:rPr>
          <w:rFonts w:asciiTheme="majorBidi" w:hAnsiTheme="majorBidi" w:cstheme="majorBidi"/>
        </w:rPr>
        <w:t xml:space="preserve"> that decreases inefficiency and incoherence, </w:t>
      </w:r>
      <w:r w:rsidRPr="00C35090">
        <w:rPr>
          <w:rFonts w:asciiTheme="majorBidi" w:hAnsiTheme="majorBidi" w:cstheme="majorBidi"/>
          <w:i/>
          <w:iCs/>
        </w:rPr>
        <w:t>fiqhī</w:t>
      </w:r>
      <w:r w:rsidRPr="00C35090">
        <w:rPr>
          <w:rFonts w:asciiTheme="majorBidi" w:hAnsiTheme="majorBidi" w:cstheme="majorBidi"/>
        </w:rPr>
        <w:t xml:space="preserve"> rule</w:t>
      </w:r>
      <w:r>
        <w:rPr>
          <w:rFonts w:asciiTheme="majorBidi" w:hAnsiTheme="majorBidi" w:cstheme="majorBidi"/>
        </w:rPr>
        <w:t>s become</w:t>
      </w:r>
      <w:r w:rsidRPr="00DA646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more compatible with modern law and the secularization of legislation and judgment in the legal system would be facilitated. </w:t>
      </w:r>
      <w:r>
        <w:rPr>
          <w:rFonts w:asciiTheme="majorBidi" w:hAnsiTheme="majorBidi" w:cstheme="majorBidi"/>
          <w:lang w:bidi="fa-IR"/>
        </w:rPr>
        <w:t>This study seeks to examine S</w:t>
      </w:r>
      <w:r w:rsidRPr="00023A06">
        <w:rPr>
          <w:rFonts w:asciiTheme="majorBidi" w:hAnsiTheme="majorBidi" w:cstheme="majorBidi"/>
          <w:lang w:bidi="fa-IR"/>
        </w:rPr>
        <w:t>hiit</w:t>
      </w:r>
      <w:r>
        <w:rPr>
          <w:rFonts w:asciiTheme="majorBidi" w:hAnsiTheme="majorBidi" w:cstheme="majorBidi"/>
          <w:lang w:bidi="fa-IR"/>
        </w:rPr>
        <w:t>e</w:t>
      </w:r>
      <w:r w:rsidRPr="00023A06">
        <w:rPr>
          <w:rFonts w:asciiTheme="majorBidi" w:hAnsiTheme="majorBidi" w:cstheme="majorBidi"/>
          <w:lang w:bidi="fa-IR"/>
        </w:rPr>
        <w:t xml:space="preserve"> epis</w:t>
      </w:r>
      <w:r>
        <w:rPr>
          <w:rFonts w:asciiTheme="majorBidi" w:hAnsiTheme="majorBidi" w:cstheme="majorBidi"/>
          <w:lang w:bidi="fa-IR"/>
        </w:rPr>
        <w:t xml:space="preserve">temological thought and explain the </w:t>
      </w:r>
      <w:r w:rsidRPr="001211CC">
        <w:rPr>
          <w:rFonts w:asciiTheme="majorBidi" w:hAnsiTheme="majorBidi" w:cstheme="majorBidi"/>
        </w:rPr>
        <w:t>abandoned</w:t>
      </w:r>
      <w:r>
        <w:rPr>
          <w:rFonts w:asciiTheme="majorBidi" w:hAnsiTheme="majorBidi" w:cstheme="majorBidi"/>
          <w:lang w:bidi="fa-IR"/>
        </w:rPr>
        <w:t xml:space="preserve"> t</w:t>
      </w:r>
      <w:r w:rsidRPr="00023A06">
        <w:rPr>
          <w:rFonts w:asciiTheme="majorBidi" w:hAnsiTheme="majorBidi" w:cstheme="majorBidi"/>
          <w:lang w:bidi="fa-IR"/>
        </w:rPr>
        <w:t xml:space="preserve">heory of </w:t>
      </w:r>
      <w:r w:rsidRPr="00B04B6A">
        <w:rPr>
          <w:rFonts w:asciiTheme="majorBidi" w:hAnsiTheme="majorBidi" w:cstheme="majorBidi"/>
          <w:i/>
          <w:iCs/>
          <w:lang w:bidi="fa-IR"/>
        </w:rPr>
        <w:t>Insidad</w:t>
      </w:r>
      <w:r>
        <w:rPr>
          <w:rFonts w:asciiTheme="majorBidi" w:hAnsiTheme="majorBidi" w:cstheme="majorBidi"/>
          <w:lang w:bidi="fa-IR"/>
        </w:rPr>
        <w:t>,</w:t>
      </w:r>
      <w:r w:rsidRPr="00B04B6A">
        <w:rPr>
          <w:rFonts w:asciiTheme="majorBidi" w:hAnsiTheme="majorBidi" w:cstheme="majorBidi"/>
        </w:rPr>
        <w:t xml:space="preserve"> </w:t>
      </w:r>
      <w:r w:rsidRPr="00DA6462">
        <w:rPr>
          <w:rFonts w:asciiTheme="majorBidi" w:hAnsiTheme="majorBidi" w:cstheme="majorBidi"/>
        </w:rPr>
        <w:t>along with</w:t>
      </w:r>
      <w:r w:rsidRPr="00023A06">
        <w:rPr>
          <w:rFonts w:asciiTheme="majorBidi" w:hAnsiTheme="majorBidi" w:cstheme="majorBidi"/>
          <w:lang w:bidi="fa-IR"/>
        </w:rPr>
        <w:t xml:space="preserve"> its implication for the legal system in a religious society.</w:t>
      </w:r>
    </w:p>
    <w:p w:rsidR="0018194A" w:rsidRDefault="00C84603" w:rsidP="00C84603">
      <w:r w:rsidRPr="00C136B2">
        <w:rPr>
          <w:rFonts w:asciiTheme="majorBidi" w:hAnsiTheme="majorBidi" w:cstheme="majorBidi"/>
          <w:b/>
          <w:bCs/>
          <w:sz w:val="26"/>
          <w:szCs w:val="26"/>
          <w:lang w:bidi="fa-IR"/>
        </w:rPr>
        <w:t>Keywords</w:t>
      </w:r>
      <w:r w:rsidRPr="00A221D8">
        <w:rPr>
          <w:rFonts w:asciiTheme="majorBidi" w:hAnsiTheme="majorBidi" w:cstheme="majorBidi"/>
          <w:sz w:val="26"/>
          <w:szCs w:val="26"/>
          <w:lang w:bidi="fa-IR"/>
        </w:rPr>
        <w:t xml:space="preserve">: </w:t>
      </w:r>
      <w:r w:rsidRPr="0077040B">
        <w:rPr>
          <w:rFonts w:asciiTheme="majorBidi" w:hAnsiTheme="majorBidi" w:cstheme="majorBidi"/>
          <w:lang w:bidi="fa-IR"/>
        </w:rPr>
        <w:t>Epistemic Foundationalism,</w:t>
      </w:r>
      <w:r w:rsidRPr="0077040B">
        <w:rPr>
          <w:rFonts w:asciiTheme="majorBidi" w:hAnsiTheme="majorBidi" w:cstheme="majorBidi"/>
          <w:i/>
          <w:iCs/>
        </w:rPr>
        <w:t xml:space="preserve"> Fiqhī</w:t>
      </w:r>
      <w:r w:rsidRPr="0077040B">
        <w:rPr>
          <w:rFonts w:asciiTheme="majorBidi" w:hAnsiTheme="majorBidi" w:cstheme="majorBidi"/>
        </w:rPr>
        <w:t xml:space="preserve"> Rule,</w:t>
      </w:r>
      <w:r w:rsidRPr="0077040B">
        <w:rPr>
          <w:rFonts w:asciiTheme="majorBidi" w:hAnsiTheme="majorBidi" w:cstheme="majorBidi"/>
          <w:lang w:bidi="fa-IR"/>
        </w:rPr>
        <w:t xml:space="preserve"> </w:t>
      </w:r>
      <w:r w:rsidRPr="0077040B">
        <w:rPr>
          <w:rFonts w:asciiTheme="majorBidi" w:hAnsiTheme="majorBidi" w:cstheme="majorBidi"/>
          <w:i/>
          <w:iCs/>
          <w:lang w:bidi="fa-IR"/>
        </w:rPr>
        <w:t>Insidad</w:t>
      </w:r>
      <w:r w:rsidRPr="0077040B">
        <w:rPr>
          <w:rFonts w:asciiTheme="majorBidi" w:hAnsiTheme="majorBidi" w:cstheme="majorBidi"/>
          <w:lang w:bidi="fa-IR"/>
        </w:rPr>
        <w:t>, Loss of Certainty, Secular Legal System.</w:t>
      </w:r>
    </w:p>
    <w:sectPr w:rsidR="00181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D7" w:rsidRDefault="00BD6ED7" w:rsidP="00C84603">
      <w:pPr>
        <w:spacing w:after="0" w:line="240" w:lineRule="auto"/>
      </w:pPr>
      <w:r>
        <w:separator/>
      </w:r>
    </w:p>
  </w:endnote>
  <w:endnote w:type="continuationSeparator" w:id="0">
    <w:p w:rsidR="00BD6ED7" w:rsidRDefault="00BD6ED7" w:rsidP="00C8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D7" w:rsidRDefault="00BD6ED7" w:rsidP="00C84603">
      <w:pPr>
        <w:spacing w:after="0" w:line="240" w:lineRule="auto"/>
      </w:pPr>
      <w:r>
        <w:separator/>
      </w:r>
    </w:p>
  </w:footnote>
  <w:footnote w:type="continuationSeparator" w:id="0">
    <w:p w:rsidR="00BD6ED7" w:rsidRDefault="00BD6ED7" w:rsidP="00C84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03"/>
    <w:rsid w:val="000B5B3D"/>
    <w:rsid w:val="0018194A"/>
    <w:rsid w:val="001837CB"/>
    <w:rsid w:val="001A42F3"/>
    <w:rsid w:val="0077040B"/>
    <w:rsid w:val="00BD6ED7"/>
    <w:rsid w:val="00C136B2"/>
    <w:rsid w:val="00C82FDE"/>
    <w:rsid w:val="00C84603"/>
    <w:rsid w:val="00D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FCE772-08F5-4537-B83B-50CA519A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84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46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460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84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منظر وفادار</cp:lastModifiedBy>
  <cp:revision>2</cp:revision>
  <dcterms:created xsi:type="dcterms:W3CDTF">2022-07-05T05:48:00Z</dcterms:created>
  <dcterms:modified xsi:type="dcterms:W3CDTF">2022-07-05T05:48:00Z</dcterms:modified>
</cp:coreProperties>
</file>