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8A" w:rsidRPr="00C34107" w:rsidRDefault="00AD4B7F" w:rsidP="003A4474">
      <w:pPr>
        <w:ind w:firstLine="284"/>
        <w:jc w:val="center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  <w:bookmarkStart w:id="0" w:name="_GoBack"/>
      <w:bookmarkEnd w:id="0"/>
      <w:r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>I</w:t>
      </w:r>
      <w:r w:rsidR="0067738A"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nducement </w:t>
      </w:r>
      <w:r w:rsidR="003A4474">
        <w:rPr>
          <w:rFonts w:asciiTheme="majorBidi" w:hAnsiTheme="majorBidi" w:cstheme="majorBidi"/>
          <w:b/>
          <w:bCs/>
          <w:sz w:val="26"/>
          <w:szCs w:val="26"/>
          <w:lang w:bidi="fa-IR"/>
        </w:rPr>
        <w:t>of</w:t>
      </w:r>
      <w:r w:rsidR="0067738A"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 </w:t>
      </w:r>
      <w:r w:rsidR="003A4474"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>Circumstances</w:t>
      </w:r>
      <w:r w:rsidR="00543B72">
        <w:rPr>
          <w:rFonts w:asciiTheme="majorBidi" w:hAnsiTheme="majorBidi" w:cstheme="majorBidi"/>
          <w:b/>
          <w:bCs/>
          <w:sz w:val="26"/>
          <w:szCs w:val="26"/>
          <w:lang w:bidi="fa-IR"/>
        </w:rPr>
        <w:t>’</w:t>
      </w:r>
      <w:r w:rsidR="003A4474"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 </w:t>
      </w:r>
      <w:r w:rsidR="00C34107"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>D</w:t>
      </w:r>
      <w:r w:rsidR="0067738A"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isclosure and </w:t>
      </w:r>
      <w:r w:rsidR="00C34107"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>C</w:t>
      </w:r>
      <w:r w:rsidR="0067738A"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oncluding the </w:t>
      </w:r>
      <w:r w:rsidR="00C34107"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>M</w:t>
      </w:r>
      <w:r w:rsidR="0067738A"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arine </w:t>
      </w:r>
      <w:r w:rsidR="00C34107"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>I</w:t>
      </w:r>
      <w:r w:rsidR="0067738A"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nsurance </w:t>
      </w:r>
      <w:r w:rsidR="00C34107"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>C</w:t>
      </w:r>
      <w:r w:rsidRPr="00C34107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ontract </w:t>
      </w:r>
    </w:p>
    <w:p w:rsidR="0067738A" w:rsidRPr="00C34107" w:rsidRDefault="0067738A" w:rsidP="00C34107">
      <w:pPr>
        <w:ind w:firstLine="284"/>
        <w:jc w:val="center"/>
        <w:rPr>
          <w:rFonts w:asciiTheme="majorBidi" w:hAnsiTheme="majorBidi" w:cstheme="majorBidi"/>
          <w:b/>
          <w:bCs/>
          <w:lang w:bidi="fa-IR"/>
        </w:rPr>
      </w:pPr>
      <w:r w:rsidRPr="00C34107">
        <w:rPr>
          <w:rFonts w:asciiTheme="majorBidi" w:hAnsiTheme="majorBidi" w:cstheme="majorBidi"/>
          <w:b/>
          <w:bCs/>
          <w:lang w:bidi="fa-IR"/>
        </w:rPr>
        <w:t xml:space="preserve">Mansur </w:t>
      </w:r>
      <w:r w:rsidR="00C34107" w:rsidRPr="00C34107">
        <w:rPr>
          <w:rFonts w:asciiTheme="majorBidi" w:hAnsiTheme="majorBidi" w:cstheme="majorBidi"/>
          <w:b/>
          <w:bCs/>
          <w:lang w:bidi="fa-IR"/>
        </w:rPr>
        <w:t>AMINI</w:t>
      </w:r>
      <w:r w:rsidR="00C34107">
        <w:rPr>
          <w:rFonts w:asciiTheme="majorBidi" w:hAnsiTheme="majorBidi" w:cstheme="majorBidi"/>
          <w:b/>
          <w:bCs/>
          <w:lang w:bidi="fa-IR"/>
        </w:rPr>
        <w:t xml:space="preserve"> </w:t>
      </w:r>
      <w:r w:rsidR="00C34107" w:rsidRPr="00C34107">
        <w:rPr>
          <w:rFonts w:asciiTheme="majorBidi" w:hAnsiTheme="majorBidi" w:cstheme="majorBidi"/>
          <w:lang w:bidi="fa-IR"/>
        </w:rPr>
        <w:t xml:space="preserve">(Associate Professor of Law, </w:t>
      </w:r>
      <w:proofErr w:type="spellStart"/>
      <w:r w:rsidR="00C34107" w:rsidRPr="00C34107">
        <w:rPr>
          <w:rFonts w:asciiTheme="majorBidi" w:hAnsiTheme="majorBidi" w:cstheme="majorBidi"/>
          <w:lang w:bidi="fa-IR"/>
        </w:rPr>
        <w:t>Shahid</w:t>
      </w:r>
      <w:proofErr w:type="spellEnd"/>
      <w:r w:rsidR="00C34107" w:rsidRPr="00C34107">
        <w:rPr>
          <w:rFonts w:asciiTheme="majorBidi" w:hAnsiTheme="majorBidi" w:cstheme="majorBidi"/>
          <w:lang w:bidi="fa-IR"/>
        </w:rPr>
        <w:t xml:space="preserve"> </w:t>
      </w:r>
      <w:proofErr w:type="spellStart"/>
      <w:r w:rsidR="00C34107" w:rsidRPr="00C34107">
        <w:rPr>
          <w:rFonts w:asciiTheme="majorBidi" w:hAnsiTheme="majorBidi" w:cstheme="majorBidi"/>
          <w:lang w:bidi="fa-IR"/>
        </w:rPr>
        <w:t>Beheshti</w:t>
      </w:r>
      <w:proofErr w:type="spellEnd"/>
      <w:r w:rsidR="00C34107" w:rsidRPr="00C34107">
        <w:rPr>
          <w:rFonts w:asciiTheme="majorBidi" w:hAnsiTheme="majorBidi" w:cstheme="majorBidi"/>
          <w:lang w:bidi="fa-IR"/>
        </w:rPr>
        <w:t xml:space="preserve"> University)</w:t>
      </w:r>
    </w:p>
    <w:p w:rsidR="0067738A" w:rsidRPr="0067738A" w:rsidRDefault="0067738A" w:rsidP="003A4474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proofErr w:type="spellStart"/>
      <w:r w:rsidRPr="00C34107">
        <w:rPr>
          <w:rFonts w:asciiTheme="majorBidi" w:hAnsiTheme="majorBidi" w:cstheme="majorBidi"/>
          <w:b/>
          <w:bCs/>
          <w:lang w:bidi="fa-IR"/>
        </w:rPr>
        <w:t>Mojtaba</w:t>
      </w:r>
      <w:proofErr w:type="spellEnd"/>
      <w:r w:rsidRPr="00C34107">
        <w:rPr>
          <w:rFonts w:asciiTheme="majorBidi" w:hAnsiTheme="majorBidi" w:cstheme="majorBidi"/>
          <w:b/>
          <w:bCs/>
          <w:lang w:bidi="fa-IR"/>
        </w:rPr>
        <w:t xml:space="preserve"> </w:t>
      </w:r>
      <w:r w:rsidR="00C34107" w:rsidRPr="00C34107">
        <w:rPr>
          <w:rFonts w:asciiTheme="majorBidi" w:hAnsiTheme="majorBidi" w:cstheme="majorBidi"/>
          <w:b/>
          <w:bCs/>
          <w:lang w:bidi="fa-IR"/>
        </w:rPr>
        <w:t>MOHAMMADI</w:t>
      </w:r>
      <w:r w:rsidR="00C34107">
        <w:rPr>
          <w:rFonts w:asciiTheme="majorBidi" w:hAnsiTheme="majorBidi" w:cstheme="majorBidi"/>
          <w:b/>
          <w:bCs/>
          <w:lang w:bidi="fa-IR"/>
        </w:rPr>
        <w:t xml:space="preserve"> </w:t>
      </w:r>
      <w:r w:rsidR="00C34107" w:rsidRPr="00C34107">
        <w:rPr>
          <w:rFonts w:asciiTheme="majorBidi" w:hAnsiTheme="majorBidi" w:cstheme="majorBidi"/>
          <w:lang w:bidi="fa-IR"/>
        </w:rPr>
        <w:t xml:space="preserve">(Ph.D. Candidate of </w:t>
      </w:r>
      <w:r w:rsidR="003A4474" w:rsidRPr="003A4474">
        <w:rPr>
          <w:rFonts w:asciiTheme="majorBidi" w:hAnsiTheme="majorBidi" w:cstheme="majorBidi"/>
          <w:lang w:bidi="fa-IR"/>
        </w:rPr>
        <w:t>International Trade</w:t>
      </w:r>
      <w:r w:rsidR="003A4474">
        <w:t xml:space="preserve"> </w:t>
      </w:r>
      <w:r w:rsidR="00C34107" w:rsidRPr="00C34107">
        <w:rPr>
          <w:rFonts w:asciiTheme="majorBidi" w:hAnsiTheme="majorBidi" w:cstheme="majorBidi"/>
          <w:lang w:bidi="fa-IR"/>
        </w:rPr>
        <w:t xml:space="preserve">Law, </w:t>
      </w:r>
      <w:proofErr w:type="spellStart"/>
      <w:r w:rsidR="00C34107" w:rsidRPr="00C34107">
        <w:rPr>
          <w:rFonts w:asciiTheme="majorBidi" w:hAnsiTheme="majorBidi" w:cstheme="majorBidi"/>
          <w:lang w:bidi="fa-IR"/>
        </w:rPr>
        <w:t>Shahid</w:t>
      </w:r>
      <w:proofErr w:type="spellEnd"/>
      <w:r w:rsidR="00C34107" w:rsidRPr="00C34107">
        <w:rPr>
          <w:rFonts w:asciiTheme="majorBidi" w:hAnsiTheme="majorBidi" w:cstheme="majorBidi"/>
          <w:lang w:bidi="fa-IR"/>
        </w:rPr>
        <w:t xml:space="preserve"> </w:t>
      </w:r>
      <w:proofErr w:type="spellStart"/>
      <w:r w:rsidR="00C34107" w:rsidRPr="00C34107">
        <w:rPr>
          <w:rFonts w:asciiTheme="majorBidi" w:hAnsiTheme="majorBidi" w:cstheme="majorBidi"/>
          <w:lang w:bidi="fa-IR"/>
        </w:rPr>
        <w:t>Beheshti</w:t>
      </w:r>
      <w:proofErr w:type="spellEnd"/>
      <w:r w:rsidR="00C34107" w:rsidRPr="00C34107">
        <w:rPr>
          <w:rFonts w:asciiTheme="majorBidi" w:hAnsiTheme="majorBidi" w:cstheme="majorBidi"/>
          <w:lang w:bidi="fa-IR"/>
        </w:rPr>
        <w:t xml:space="preserve"> University)</w:t>
      </w:r>
      <w:r>
        <w:rPr>
          <w:rStyle w:val="FootnoteReference"/>
          <w:rFonts w:cs="B Mitra"/>
          <w:b/>
          <w:bCs/>
          <w:sz w:val="26"/>
          <w:szCs w:val="26"/>
          <w:lang w:bidi="fa-IR"/>
        </w:rPr>
        <w:footnoteReference w:customMarkFollows="1" w:id="1"/>
        <w:t>**</w:t>
      </w:r>
    </w:p>
    <w:p w:rsidR="008226E5" w:rsidRPr="0067738A" w:rsidRDefault="008226E5" w:rsidP="0067738A">
      <w:pPr>
        <w:jc w:val="both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  <w:r w:rsidRPr="0067738A">
        <w:rPr>
          <w:rFonts w:asciiTheme="majorBidi" w:hAnsiTheme="majorBidi" w:cstheme="majorBidi"/>
          <w:b/>
          <w:bCs/>
          <w:sz w:val="26"/>
          <w:szCs w:val="26"/>
          <w:lang w:bidi="fa-IR"/>
        </w:rPr>
        <w:t>Abstract</w:t>
      </w:r>
    </w:p>
    <w:p w:rsidR="008226E5" w:rsidRPr="0067738A" w:rsidRDefault="008226E5" w:rsidP="00543B72">
      <w:pPr>
        <w:jc w:val="both"/>
        <w:rPr>
          <w:rFonts w:asciiTheme="majorBidi" w:hAnsiTheme="majorBidi" w:cstheme="majorBidi"/>
        </w:rPr>
      </w:pPr>
      <w:r w:rsidRPr="0067738A">
        <w:rPr>
          <w:rFonts w:asciiTheme="majorBidi" w:hAnsiTheme="majorBidi" w:cstheme="majorBidi"/>
        </w:rPr>
        <w:t>It is not mentioned to the necessity of “inducement” between “non-disclosure and representation of circumstances” and conc</w:t>
      </w:r>
      <w:r w:rsidR="00B35B62" w:rsidRPr="0067738A">
        <w:rPr>
          <w:rFonts w:asciiTheme="majorBidi" w:hAnsiTheme="majorBidi" w:cstheme="majorBidi"/>
        </w:rPr>
        <w:t xml:space="preserve">luding the contract in Insurance Law of Iran and Marine Insurance Law of England. If the insured had the right </w:t>
      </w:r>
      <w:r w:rsidR="00543B72" w:rsidRPr="00543B72">
        <w:rPr>
          <w:rFonts w:asciiTheme="majorBidi" w:hAnsiTheme="majorBidi" w:cstheme="majorBidi"/>
        </w:rPr>
        <w:t>to</w:t>
      </w:r>
      <w:r w:rsidR="00B35B62" w:rsidRPr="00543B72">
        <w:rPr>
          <w:rFonts w:asciiTheme="majorBidi" w:hAnsiTheme="majorBidi" w:cstheme="majorBidi"/>
        </w:rPr>
        <w:t xml:space="preserve"> contract voidance merely</w:t>
      </w:r>
      <w:r w:rsidR="00B35B62" w:rsidRPr="0067738A">
        <w:rPr>
          <w:rFonts w:asciiTheme="majorBidi" w:hAnsiTheme="majorBidi" w:cstheme="majorBidi"/>
        </w:rPr>
        <w:t xml:space="preserve"> because of non-disclosure and representation of circumstances</w:t>
      </w:r>
      <w:r w:rsidR="007E4BD7">
        <w:rPr>
          <w:rFonts w:asciiTheme="majorBidi" w:hAnsiTheme="majorBidi" w:cstheme="majorBidi"/>
        </w:rPr>
        <w:t>,</w:t>
      </w:r>
      <w:r w:rsidR="00B35B62" w:rsidRPr="0067738A">
        <w:rPr>
          <w:rFonts w:asciiTheme="majorBidi" w:hAnsiTheme="majorBidi" w:cstheme="majorBidi"/>
        </w:rPr>
        <w:t xml:space="preserve"> the economic result of this would be so heavy.  In this article</w:t>
      </w:r>
      <w:r w:rsidR="00486FE3">
        <w:rPr>
          <w:rFonts w:asciiTheme="majorBidi" w:hAnsiTheme="majorBidi" w:cstheme="majorBidi"/>
        </w:rPr>
        <w:t>,</w:t>
      </w:r>
      <w:r w:rsidR="00B35B62" w:rsidRPr="0067738A">
        <w:rPr>
          <w:rFonts w:asciiTheme="majorBidi" w:hAnsiTheme="majorBidi" w:cstheme="majorBidi"/>
        </w:rPr>
        <w:t xml:space="preserve"> the legal provisions of Iran and England </w:t>
      </w:r>
      <w:r w:rsidR="00486FE3">
        <w:rPr>
          <w:rFonts w:asciiTheme="majorBidi" w:hAnsiTheme="majorBidi" w:cstheme="majorBidi"/>
        </w:rPr>
        <w:t>are</w:t>
      </w:r>
      <w:r w:rsidR="00B35B62" w:rsidRPr="0067738A">
        <w:rPr>
          <w:rFonts w:asciiTheme="majorBidi" w:hAnsiTheme="majorBidi" w:cstheme="majorBidi"/>
        </w:rPr>
        <w:t xml:space="preserve"> analyzed</w:t>
      </w:r>
      <w:r w:rsidR="00B35B62" w:rsidRPr="0067738A">
        <w:rPr>
          <w:rFonts w:asciiTheme="majorBidi" w:hAnsiTheme="majorBidi" w:cstheme="majorBidi"/>
          <w:rtl/>
        </w:rPr>
        <w:t>.</w:t>
      </w:r>
      <w:r w:rsidR="00B35B62" w:rsidRPr="0067738A">
        <w:rPr>
          <w:rFonts w:asciiTheme="majorBidi" w:hAnsiTheme="majorBidi" w:cstheme="majorBidi"/>
        </w:rPr>
        <w:t xml:space="preserve"> </w:t>
      </w:r>
      <w:r w:rsidR="007D6477" w:rsidRPr="0067738A">
        <w:rPr>
          <w:rFonts w:asciiTheme="majorBidi" w:hAnsiTheme="majorBidi" w:cstheme="majorBidi"/>
        </w:rPr>
        <w:t xml:space="preserve">One approach to adjustment of the heavy remedy of non-disclosure and representation of circumstances is the necessity of inducement between non-disclosure and representation of circumstances and concluding the contract that the insurer </w:t>
      </w:r>
      <w:r w:rsidR="0067738A" w:rsidRPr="0067738A">
        <w:rPr>
          <w:rFonts w:asciiTheme="majorBidi" w:hAnsiTheme="majorBidi" w:cstheme="majorBidi"/>
        </w:rPr>
        <w:t xml:space="preserve">after proving the materiality of circumstances according to the “objective test” </w:t>
      </w:r>
      <w:r w:rsidR="007D6477" w:rsidRPr="0067738A">
        <w:rPr>
          <w:rFonts w:asciiTheme="majorBidi" w:hAnsiTheme="majorBidi" w:cstheme="majorBidi"/>
        </w:rPr>
        <w:t>must prove according to the “subjective test” because of non-disclosure and representation of circumstances</w:t>
      </w:r>
      <w:r w:rsidR="0067738A" w:rsidRPr="0067738A">
        <w:rPr>
          <w:rFonts w:asciiTheme="majorBidi" w:hAnsiTheme="majorBidi" w:cstheme="majorBidi"/>
        </w:rPr>
        <w:t xml:space="preserve"> has concluded the contract. </w:t>
      </w:r>
    </w:p>
    <w:p w:rsidR="0067738A" w:rsidRPr="008226E5" w:rsidRDefault="0067738A" w:rsidP="007E4BD7">
      <w:pPr>
        <w:jc w:val="both"/>
      </w:pPr>
      <w:r w:rsidRPr="0067738A">
        <w:rPr>
          <w:rFonts w:asciiTheme="majorBidi" w:hAnsiTheme="majorBidi" w:cstheme="majorBidi"/>
          <w:b/>
          <w:bCs/>
        </w:rPr>
        <w:t>Key words</w:t>
      </w:r>
      <w:r w:rsidRPr="0067738A">
        <w:rPr>
          <w:rFonts w:asciiTheme="majorBidi" w:hAnsiTheme="majorBidi" w:cstheme="majorBidi"/>
        </w:rPr>
        <w:t xml:space="preserve">: </w:t>
      </w:r>
      <w:r w:rsidR="007E4BD7">
        <w:rPr>
          <w:rFonts w:asciiTheme="majorBidi" w:hAnsiTheme="majorBidi" w:cstheme="majorBidi"/>
        </w:rPr>
        <w:t>N</w:t>
      </w:r>
      <w:r w:rsidRPr="0067738A">
        <w:rPr>
          <w:rFonts w:asciiTheme="majorBidi" w:hAnsiTheme="majorBidi" w:cstheme="majorBidi"/>
        </w:rPr>
        <w:t>on-</w:t>
      </w:r>
      <w:r w:rsidR="007E4BD7">
        <w:rPr>
          <w:rFonts w:asciiTheme="majorBidi" w:hAnsiTheme="majorBidi" w:cstheme="majorBidi"/>
        </w:rPr>
        <w:t>D</w:t>
      </w:r>
      <w:r w:rsidRPr="0067738A">
        <w:rPr>
          <w:rFonts w:asciiTheme="majorBidi" w:hAnsiTheme="majorBidi" w:cstheme="majorBidi"/>
        </w:rPr>
        <w:t xml:space="preserve">isclosure and </w:t>
      </w:r>
      <w:r w:rsidR="007E4BD7">
        <w:rPr>
          <w:rFonts w:asciiTheme="majorBidi" w:hAnsiTheme="majorBidi" w:cstheme="majorBidi"/>
        </w:rPr>
        <w:t>R</w:t>
      </w:r>
      <w:r w:rsidRPr="0067738A">
        <w:rPr>
          <w:rFonts w:asciiTheme="majorBidi" w:hAnsiTheme="majorBidi" w:cstheme="majorBidi"/>
        </w:rPr>
        <w:t xml:space="preserve">epresentation of </w:t>
      </w:r>
      <w:r w:rsidR="007E4BD7">
        <w:rPr>
          <w:rFonts w:asciiTheme="majorBidi" w:hAnsiTheme="majorBidi" w:cstheme="majorBidi"/>
        </w:rPr>
        <w:t>C</w:t>
      </w:r>
      <w:r w:rsidRPr="0067738A">
        <w:rPr>
          <w:rFonts w:asciiTheme="majorBidi" w:hAnsiTheme="majorBidi" w:cstheme="majorBidi"/>
        </w:rPr>
        <w:t xml:space="preserve">ircumstance, </w:t>
      </w:r>
      <w:r w:rsidR="007E4BD7">
        <w:rPr>
          <w:rFonts w:asciiTheme="majorBidi" w:hAnsiTheme="majorBidi" w:cstheme="majorBidi"/>
        </w:rPr>
        <w:t>Inducement, R</w:t>
      </w:r>
      <w:r w:rsidRPr="0067738A">
        <w:rPr>
          <w:rFonts w:asciiTheme="majorBidi" w:hAnsiTheme="majorBidi" w:cstheme="majorBidi"/>
        </w:rPr>
        <w:t xml:space="preserve">ight </w:t>
      </w:r>
      <w:r w:rsidR="007E4BD7">
        <w:rPr>
          <w:rFonts w:asciiTheme="majorBidi" w:hAnsiTheme="majorBidi" w:cstheme="majorBidi"/>
        </w:rPr>
        <w:t>to</w:t>
      </w:r>
      <w:r w:rsidRPr="0067738A">
        <w:rPr>
          <w:rFonts w:asciiTheme="majorBidi" w:hAnsiTheme="majorBidi" w:cstheme="majorBidi"/>
        </w:rPr>
        <w:t xml:space="preserve"> </w:t>
      </w:r>
      <w:r w:rsidR="007E4BD7">
        <w:rPr>
          <w:rFonts w:asciiTheme="majorBidi" w:hAnsiTheme="majorBidi" w:cstheme="majorBidi"/>
        </w:rPr>
        <w:t>C</w:t>
      </w:r>
      <w:r w:rsidRPr="0067738A">
        <w:rPr>
          <w:rFonts w:asciiTheme="majorBidi" w:hAnsiTheme="majorBidi" w:cstheme="majorBidi"/>
        </w:rPr>
        <w:t xml:space="preserve">ontract </w:t>
      </w:r>
      <w:r w:rsidR="007E4BD7">
        <w:rPr>
          <w:rFonts w:asciiTheme="majorBidi" w:hAnsiTheme="majorBidi" w:cstheme="majorBidi"/>
        </w:rPr>
        <w:t>V</w:t>
      </w:r>
      <w:r w:rsidRPr="0067738A">
        <w:rPr>
          <w:rFonts w:asciiTheme="majorBidi" w:hAnsiTheme="majorBidi" w:cstheme="majorBidi"/>
        </w:rPr>
        <w:t xml:space="preserve">oidance, </w:t>
      </w:r>
      <w:r w:rsidR="007E4BD7">
        <w:rPr>
          <w:rFonts w:asciiTheme="majorBidi" w:hAnsiTheme="majorBidi" w:cstheme="majorBidi"/>
        </w:rPr>
        <w:t>O</w:t>
      </w:r>
      <w:r w:rsidRPr="0067738A">
        <w:rPr>
          <w:rFonts w:asciiTheme="majorBidi" w:hAnsiTheme="majorBidi" w:cstheme="majorBidi"/>
        </w:rPr>
        <w:t xml:space="preserve">bjective </w:t>
      </w:r>
      <w:r w:rsidR="007E4BD7">
        <w:rPr>
          <w:rFonts w:asciiTheme="majorBidi" w:hAnsiTheme="majorBidi" w:cstheme="majorBidi"/>
        </w:rPr>
        <w:t>T</w:t>
      </w:r>
      <w:r w:rsidRPr="0067738A">
        <w:rPr>
          <w:rFonts w:asciiTheme="majorBidi" w:hAnsiTheme="majorBidi" w:cstheme="majorBidi"/>
        </w:rPr>
        <w:t xml:space="preserve">est, </w:t>
      </w:r>
      <w:r w:rsidR="007E4BD7">
        <w:rPr>
          <w:rFonts w:asciiTheme="majorBidi" w:hAnsiTheme="majorBidi" w:cstheme="majorBidi"/>
        </w:rPr>
        <w:t>O</w:t>
      </w:r>
      <w:r w:rsidRPr="0067738A">
        <w:rPr>
          <w:rFonts w:asciiTheme="majorBidi" w:hAnsiTheme="majorBidi" w:cstheme="majorBidi"/>
        </w:rPr>
        <w:t xml:space="preserve">bjective </w:t>
      </w:r>
      <w:r w:rsidR="007E4BD7">
        <w:rPr>
          <w:rFonts w:asciiTheme="majorBidi" w:hAnsiTheme="majorBidi" w:cstheme="majorBidi"/>
        </w:rPr>
        <w:t>T</w:t>
      </w:r>
      <w:r w:rsidRPr="0067738A">
        <w:rPr>
          <w:rFonts w:asciiTheme="majorBidi" w:hAnsiTheme="majorBidi" w:cstheme="majorBidi"/>
        </w:rPr>
        <w:t>est.</w:t>
      </w:r>
      <w:r>
        <w:t xml:space="preserve"> </w:t>
      </w:r>
      <w:r w:rsidR="00BE3694">
        <w:rPr>
          <w:rFonts w:hint="cs"/>
          <w:rtl/>
        </w:rPr>
        <w:t xml:space="preserve">   </w:t>
      </w:r>
    </w:p>
    <w:sectPr w:rsidR="0067738A" w:rsidRPr="00822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924" w:rsidRDefault="00966924" w:rsidP="0067738A">
      <w:pPr>
        <w:spacing w:after="0" w:line="240" w:lineRule="auto"/>
      </w:pPr>
      <w:r>
        <w:separator/>
      </w:r>
    </w:p>
  </w:endnote>
  <w:endnote w:type="continuationSeparator" w:id="0">
    <w:p w:rsidR="00966924" w:rsidRDefault="00966924" w:rsidP="0067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924" w:rsidRDefault="00966924" w:rsidP="0067738A">
      <w:pPr>
        <w:spacing w:after="0" w:line="240" w:lineRule="auto"/>
      </w:pPr>
      <w:r>
        <w:separator/>
      </w:r>
    </w:p>
  </w:footnote>
  <w:footnote w:type="continuationSeparator" w:id="0">
    <w:p w:rsidR="00966924" w:rsidRDefault="00966924" w:rsidP="0067738A">
      <w:pPr>
        <w:spacing w:after="0" w:line="240" w:lineRule="auto"/>
      </w:pPr>
      <w:r>
        <w:continuationSeparator/>
      </w:r>
    </w:p>
  </w:footnote>
  <w:footnote w:id="1">
    <w:p w:rsidR="0067738A" w:rsidRDefault="0067738A" w:rsidP="0067738A">
      <w:pPr>
        <w:pStyle w:val="FootnoteText"/>
      </w:pPr>
      <w:r>
        <w:rPr>
          <w:rStyle w:val="FootnoteReference"/>
        </w:rPr>
        <w:t>**</w:t>
      </w:r>
      <w:r>
        <w:t xml:space="preserve"> International Trade Law M.A. of </w:t>
      </w:r>
      <w:proofErr w:type="spellStart"/>
      <w:r>
        <w:t>Shahid</w:t>
      </w:r>
      <w:proofErr w:type="spellEnd"/>
      <w:r>
        <w:t xml:space="preserve"> </w:t>
      </w:r>
      <w:proofErr w:type="spellStart"/>
      <w:r>
        <w:t>Beheshti</w:t>
      </w:r>
      <w:proofErr w:type="spellEnd"/>
      <w:r>
        <w:t xml:space="preserve"> University (undertaking writer); </w:t>
      </w:r>
      <w:r>
        <w:rPr>
          <w:rFonts w:cs="Times New Roman"/>
          <w:sz w:val="18"/>
          <w:szCs w:val="18"/>
        </w:rPr>
        <w:t>m</w:t>
      </w:r>
      <w:r w:rsidRPr="006858CF">
        <w:rPr>
          <w:rFonts w:cs="Times New Roman"/>
          <w:sz w:val="18"/>
          <w:szCs w:val="18"/>
        </w:rPr>
        <w:t>ohammadi279@yahoo.com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E5"/>
    <w:rsid w:val="00027663"/>
    <w:rsid w:val="00224F61"/>
    <w:rsid w:val="003A4474"/>
    <w:rsid w:val="00486FE3"/>
    <w:rsid w:val="00543B72"/>
    <w:rsid w:val="00585531"/>
    <w:rsid w:val="0067738A"/>
    <w:rsid w:val="006F1E36"/>
    <w:rsid w:val="006F358B"/>
    <w:rsid w:val="007D6477"/>
    <w:rsid w:val="007E4BD7"/>
    <w:rsid w:val="008226E5"/>
    <w:rsid w:val="008E71C6"/>
    <w:rsid w:val="00941BF8"/>
    <w:rsid w:val="00966924"/>
    <w:rsid w:val="00A0498B"/>
    <w:rsid w:val="00A857D3"/>
    <w:rsid w:val="00AD4B7F"/>
    <w:rsid w:val="00B35B62"/>
    <w:rsid w:val="00BE3694"/>
    <w:rsid w:val="00C34107"/>
    <w:rsid w:val="00D25763"/>
    <w:rsid w:val="00D27C59"/>
    <w:rsid w:val="00E84FDB"/>
    <w:rsid w:val="00F0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C6AFB1-E229-436D-9D18-854AA1B8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773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73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73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novinnegah</dc:creator>
  <cp:lastModifiedBy>منظر وفادار</cp:lastModifiedBy>
  <cp:revision>2</cp:revision>
  <dcterms:created xsi:type="dcterms:W3CDTF">2022-07-06T03:42:00Z</dcterms:created>
  <dcterms:modified xsi:type="dcterms:W3CDTF">2022-07-06T03:42:00Z</dcterms:modified>
</cp:coreProperties>
</file>