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73A" w:rsidRDefault="008F273A" w:rsidP="008F273A">
      <w:pPr>
        <w:ind w:left="851" w:right="855"/>
        <w:jc w:val="center"/>
        <w:rPr>
          <w:rFonts w:asciiTheme="majorBidi" w:hAnsiTheme="majorBidi" w:cstheme="majorBidi"/>
          <w:b/>
          <w:bCs/>
          <w:color w:val="000000" w:themeColor="text1"/>
          <w:sz w:val="26"/>
          <w:szCs w:val="26"/>
        </w:rPr>
      </w:pPr>
      <w:bookmarkStart w:id="0" w:name="_GoBack"/>
      <w:bookmarkEnd w:id="0"/>
      <w:r>
        <w:rPr>
          <w:rFonts w:asciiTheme="majorBidi" w:hAnsiTheme="majorBidi" w:cstheme="majorBidi"/>
          <w:b/>
          <w:bCs/>
          <w:color w:val="000000" w:themeColor="text1"/>
          <w:sz w:val="26"/>
          <w:szCs w:val="26"/>
        </w:rPr>
        <w:t>A Study of Formal Conditions of International Marriage in Iran, Pakistan and United Kingdom Law</w:t>
      </w:r>
    </w:p>
    <w:p w:rsidR="008F273A" w:rsidRDefault="008F273A" w:rsidP="008F273A">
      <w:pPr>
        <w:ind w:left="851" w:right="855"/>
        <w:jc w:val="center"/>
        <w:rPr>
          <w:rFonts w:asciiTheme="majorBidi" w:hAnsiTheme="majorBidi" w:cstheme="majorBidi"/>
          <w:color w:val="000000" w:themeColor="text1"/>
        </w:rPr>
      </w:pPr>
      <w:proofErr w:type="spellStart"/>
      <w:r>
        <w:rPr>
          <w:rFonts w:asciiTheme="majorBidi" w:hAnsiTheme="majorBidi" w:cstheme="majorBidi"/>
          <w:b/>
          <w:bCs/>
          <w:color w:val="000000" w:themeColor="text1"/>
        </w:rPr>
        <w:t>Murteza</w:t>
      </w:r>
      <w:proofErr w:type="spellEnd"/>
      <w:r>
        <w:rPr>
          <w:rFonts w:asciiTheme="majorBidi" w:hAnsiTheme="majorBidi" w:cstheme="majorBidi"/>
          <w:b/>
          <w:bCs/>
          <w:color w:val="000000" w:themeColor="text1"/>
        </w:rPr>
        <w:t xml:space="preserve"> </w:t>
      </w:r>
      <w:proofErr w:type="gramStart"/>
      <w:r>
        <w:rPr>
          <w:rFonts w:asciiTheme="majorBidi" w:hAnsiTheme="majorBidi" w:cstheme="majorBidi"/>
          <w:b/>
          <w:bCs/>
          <w:color w:val="000000" w:themeColor="text1"/>
        </w:rPr>
        <w:t xml:space="preserve">ADEL </w:t>
      </w:r>
      <w:r>
        <w:rPr>
          <w:rFonts w:asciiTheme="majorBidi" w:hAnsiTheme="majorBidi" w:cstheme="majorBidi"/>
          <w:color w:val="000000" w:themeColor="text1"/>
          <w:rtl/>
        </w:rPr>
        <w:t>)</w:t>
      </w:r>
      <w:proofErr w:type="gramEnd"/>
      <w:r>
        <w:rPr>
          <w:rFonts w:asciiTheme="majorBidi" w:eastAsia="Times New Roman" w:hAnsiTheme="majorBidi" w:cstheme="majorBidi"/>
          <w:color w:val="000000" w:themeColor="text1"/>
          <w:rtl/>
        </w:rPr>
        <w:t xml:space="preserve"> </w:t>
      </w:r>
      <w:r>
        <w:rPr>
          <w:rFonts w:asciiTheme="majorBidi" w:eastAsia="Times New Roman" w:hAnsiTheme="majorBidi" w:cstheme="majorBidi"/>
          <w:color w:val="000000" w:themeColor="text1"/>
        </w:rPr>
        <w:t>A</w:t>
      </w:r>
      <w:r>
        <w:rPr>
          <w:rFonts w:asciiTheme="majorBidi" w:hAnsiTheme="majorBidi" w:cstheme="majorBidi"/>
          <w:color w:val="000000" w:themeColor="text1"/>
        </w:rPr>
        <w:t xml:space="preserve">ssistant Professor of Law, University of Tehran </w:t>
      </w:r>
      <w:r>
        <w:rPr>
          <w:rFonts w:asciiTheme="majorBidi" w:hAnsiTheme="majorBidi" w:cstheme="majorBidi" w:hint="cs"/>
          <w:color w:val="000000" w:themeColor="text1"/>
          <w:rtl/>
        </w:rPr>
        <w:t>(</w:t>
      </w:r>
    </w:p>
    <w:p w:rsidR="008F273A" w:rsidRDefault="008F273A" w:rsidP="008F273A">
      <w:pPr>
        <w:ind w:left="851" w:right="855"/>
        <w:jc w:val="center"/>
        <w:rPr>
          <w:rFonts w:asciiTheme="majorBidi" w:hAnsiTheme="majorBidi" w:cstheme="majorBidi"/>
          <w:b/>
          <w:bCs/>
          <w:color w:val="000000" w:themeColor="text1"/>
          <w:sz w:val="26"/>
          <w:szCs w:val="26"/>
        </w:rPr>
      </w:pPr>
      <w:r>
        <w:rPr>
          <w:rFonts w:asciiTheme="majorBidi" w:hAnsiTheme="majorBidi" w:cstheme="majorBidi"/>
          <w:b/>
          <w:bCs/>
          <w:color w:val="000000" w:themeColor="text1"/>
        </w:rPr>
        <w:t xml:space="preserve">Saba JAWED </w:t>
      </w:r>
      <w:r>
        <w:rPr>
          <w:rFonts w:asciiTheme="majorBidi" w:hAnsiTheme="majorBidi" w:cstheme="majorBidi"/>
          <w:color w:val="000000" w:themeColor="text1"/>
          <w:rtl/>
        </w:rPr>
        <w:t xml:space="preserve">) </w:t>
      </w:r>
      <w:r>
        <w:rPr>
          <w:rFonts w:asciiTheme="majorBidi" w:hAnsiTheme="majorBidi" w:cstheme="majorBidi"/>
          <w:color w:val="000000" w:themeColor="text1"/>
        </w:rPr>
        <w:t xml:space="preserve">Ph.D. Candidate of Private Law, University of Tehran </w:t>
      </w:r>
      <w:r>
        <w:rPr>
          <w:rFonts w:asciiTheme="majorBidi" w:hAnsiTheme="majorBidi" w:cstheme="majorBidi" w:hint="cs"/>
          <w:color w:val="000000" w:themeColor="text1"/>
          <w:rtl/>
        </w:rPr>
        <w:t>(</w:t>
      </w:r>
      <w:r>
        <w:rPr>
          <w:rFonts w:asciiTheme="majorBidi" w:hAnsiTheme="majorBidi" w:cstheme="majorBidi" w:hint="cs"/>
          <w:color w:val="000000" w:themeColor="text1"/>
          <w:rtl/>
        </w:rPr>
        <w:br/>
      </w:r>
    </w:p>
    <w:p w:rsidR="008F273A" w:rsidRDefault="008F273A" w:rsidP="008F273A">
      <w:pPr>
        <w:spacing w:line="252" w:lineRule="auto"/>
        <w:ind w:left="851" w:right="855"/>
        <w:rPr>
          <w:rFonts w:ascii="Times New Roman" w:eastAsia="Calibri" w:hAnsi="Times New Roman" w:cs="Times New Roman"/>
          <w:b/>
          <w:bCs/>
          <w:color w:val="000000" w:themeColor="text1"/>
          <w:sz w:val="26"/>
          <w:szCs w:val="26"/>
          <w:rtl/>
        </w:rPr>
      </w:pPr>
      <w:r>
        <w:rPr>
          <w:rFonts w:ascii="Times New Roman" w:eastAsia="Calibri" w:hAnsi="Times New Roman" w:cs="Times New Roman"/>
          <w:b/>
          <w:bCs/>
          <w:color w:val="000000" w:themeColor="text1"/>
          <w:sz w:val="26"/>
          <w:szCs w:val="26"/>
        </w:rPr>
        <w:t>Abstract</w:t>
      </w:r>
    </w:p>
    <w:p w:rsidR="008F273A" w:rsidRDefault="008F273A" w:rsidP="008F273A">
      <w:pPr>
        <w:spacing w:line="252" w:lineRule="auto"/>
        <w:ind w:left="851" w:right="855"/>
        <w:jc w:val="lowKashida"/>
        <w:rPr>
          <w:rFonts w:ascii="Times New Roman" w:eastAsia="Calibri" w:hAnsi="Times New Roman" w:cs="Times New Roman"/>
          <w:b/>
          <w:bCs/>
          <w:color w:val="000000" w:themeColor="text1"/>
          <w:sz w:val="26"/>
          <w:szCs w:val="26"/>
        </w:rPr>
      </w:pPr>
      <w:r>
        <w:rPr>
          <w:rFonts w:ascii="Times New Roman" w:eastAsia="Calibri" w:hAnsi="Times New Roman" w:cs="Times New Roman"/>
          <w:color w:val="000000" w:themeColor="text1"/>
        </w:rPr>
        <w:t>There is a rapid increase observed in the number of marriages between different nationalities. The validity of marriage either celebrated in the domiciliary state or</w:t>
      </w:r>
      <w:r>
        <w:rPr>
          <w:rFonts w:ascii="Times New Roman" w:eastAsia="Calibri" w:hAnsi="Times New Roman" w:cs="Times New Roman"/>
          <w:color w:val="000000" w:themeColor="text1"/>
          <w:rtl/>
        </w:rPr>
        <w:t xml:space="preserve"> </w:t>
      </w:r>
      <w:r>
        <w:rPr>
          <w:rFonts w:ascii="Times New Roman" w:eastAsia="Calibri" w:hAnsi="Times New Roman" w:cs="Times New Roman"/>
          <w:color w:val="000000" w:themeColor="text1"/>
        </w:rPr>
        <w:t>abroad, between persons of different nationalities, must comply with certain formalities in order to ensure the legalization of marriage. The legal validity of international marriage in most national laws is subject to certain meritorious and formal conditions. The scope of these conditions varies considerably from one national law to another. Therefore, essential conditions of dual domicile of each party tend towards the invalidity of the marriage, because the domiciliary laws differ regarding the validity of a marriage. According to the general rule of private international law, it is firmly established in most national laws that the formal validity of marriage is governed by the law of the place of celebration (</w:t>
      </w:r>
      <w:proofErr w:type="spellStart"/>
      <w:r>
        <w:rPr>
          <w:rFonts w:ascii="Times New Roman" w:eastAsia="Calibri" w:hAnsi="Times New Roman" w:cs="Times New Roman"/>
          <w:color w:val="000000" w:themeColor="text1"/>
        </w:rPr>
        <w:t>lex</w:t>
      </w:r>
      <w:proofErr w:type="spellEnd"/>
      <w:r>
        <w:rPr>
          <w:rFonts w:ascii="Times New Roman" w:eastAsia="Calibri" w:hAnsi="Times New Roman" w:cs="Times New Roman"/>
          <w:color w:val="000000" w:themeColor="text1"/>
        </w:rPr>
        <w:t xml:space="preserve"> loci </w:t>
      </w:r>
      <w:proofErr w:type="spellStart"/>
      <w:r>
        <w:rPr>
          <w:rFonts w:ascii="Times New Roman" w:eastAsia="Calibri" w:hAnsi="Times New Roman" w:cs="Times New Roman"/>
          <w:color w:val="000000" w:themeColor="text1"/>
        </w:rPr>
        <w:t>celebrationis</w:t>
      </w:r>
      <w:proofErr w:type="spellEnd"/>
      <w:r>
        <w:rPr>
          <w:rFonts w:ascii="Times New Roman" w:eastAsia="Calibri" w:hAnsi="Times New Roman" w:cs="Times New Roman"/>
          <w:color w:val="000000" w:themeColor="text1"/>
        </w:rPr>
        <w:t>). Although there is no exception to this proposition, due to differences in the national laws, some propositions are considered where the marriage is considered valid when is in conformity with the law of nationalities of the parties, like marriage in the Consular Office. Non-compliance with these forms according to the law of the place of celebration has its own consequences.</w:t>
      </w:r>
    </w:p>
    <w:p w:rsidR="008F273A" w:rsidRDefault="008F273A" w:rsidP="008F273A">
      <w:pPr>
        <w:spacing w:after="0" w:line="252" w:lineRule="auto"/>
        <w:ind w:left="851" w:right="855"/>
        <w:jc w:val="lowKashida"/>
        <w:rPr>
          <w:rFonts w:ascii="Times New Roman" w:eastAsia="Times New Roman" w:hAnsi="Times New Roman" w:cs="B Lotus"/>
          <w:b/>
          <w:bCs/>
          <w:color w:val="000000" w:themeColor="text1"/>
          <w:lang w:bidi="fa-IR"/>
        </w:rPr>
      </w:pPr>
      <w:r>
        <w:rPr>
          <w:rFonts w:ascii="Times New Roman" w:eastAsia="Calibri" w:hAnsi="Times New Roman" w:cs="Times New Roman"/>
          <w:b/>
          <w:bCs/>
          <w:color w:val="000000" w:themeColor="text1"/>
          <w:sz w:val="26"/>
          <w:szCs w:val="26"/>
        </w:rPr>
        <w:t xml:space="preserve">Keywords: </w:t>
      </w:r>
      <w:r>
        <w:rPr>
          <w:rFonts w:ascii="Times New Roman" w:eastAsia="Calibri" w:hAnsi="Times New Roman" w:cs="Times New Roman"/>
          <w:color w:val="000000" w:themeColor="text1"/>
        </w:rPr>
        <w:t>International Marriage, Proxy Marriage, Registration of Marriage, Rule of Formal Validity of Marriage, The Law of Place of Celebration.</w:t>
      </w:r>
    </w:p>
    <w:p w:rsidR="008F273A" w:rsidRDefault="008F273A" w:rsidP="008F273A">
      <w:pPr>
        <w:spacing w:line="256" w:lineRule="auto"/>
        <w:rPr>
          <w:rFonts w:ascii="Times New Roman" w:eastAsia="Times New Roman" w:hAnsi="Times New Roman" w:cs="B Lotus"/>
          <w:b/>
          <w:bCs/>
          <w:color w:val="000000" w:themeColor="text1"/>
          <w:sz w:val="24"/>
          <w:szCs w:val="24"/>
          <w:lang w:bidi="fa-IR"/>
        </w:rPr>
      </w:pPr>
      <w:r>
        <w:rPr>
          <w:rFonts w:ascii="Times New Roman" w:eastAsia="Times New Roman" w:hAnsi="Times New Roman" w:cs="B Lotus"/>
          <w:b/>
          <w:bCs/>
          <w:color w:val="000000" w:themeColor="text1"/>
          <w:sz w:val="24"/>
          <w:szCs w:val="24"/>
          <w:lang w:bidi="fa-IR"/>
        </w:rPr>
        <w:br w:type="page"/>
      </w:r>
    </w:p>
    <w:p w:rsidR="005839BC" w:rsidRDefault="005839BC"/>
    <w:sectPr w:rsidR="005839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1F1"/>
    <w:rsid w:val="005839BC"/>
    <w:rsid w:val="008F273A"/>
    <w:rsid w:val="00952612"/>
    <w:rsid w:val="00D93C64"/>
    <w:rsid w:val="00EA41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DD30CB-8681-4D59-AF6D-A1190617B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73A"/>
    <w:pPr>
      <w:spacing w:after="160"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87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dc:creator>
  <cp:keywords/>
  <dc:description/>
  <cp:lastModifiedBy>منظر وفادار</cp:lastModifiedBy>
  <cp:revision>2</cp:revision>
  <dcterms:created xsi:type="dcterms:W3CDTF">2022-07-06T05:29:00Z</dcterms:created>
  <dcterms:modified xsi:type="dcterms:W3CDTF">2022-07-06T05:29:00Z</dcterms:modified>
</cp:coreProperties>
</file>